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6033" w:rsidRDefault="00B962C6">
      <w:pPr>
        <w:rPr>
          <w:sz w:val="22"/>
          <w:szCs w:val="22"/>
        </w:rPr>
      </w:pPr>
      <w:bookmarkStart w:id="0" w:name="_GoBack"/>
      <w:bookmarkEnd w:id="0"/>
      <w:r>
        <w:rPr>
          <w:sz w:val="22"/>
          <w:szCs w:val="22"/>
        </w:rPr>
        <w:t xml:space="preserve">1. Select appropriate textual evidence. </w:t>
      </w:r>
    </w:p>
    <w:p w:rsidR="00B06033" w:rsidRDefault="00B962C6">
      <w:pPr>
        <w:rPr>
          <w:sz w:val="22"/>
          <w:szCs w:val="22"/>
        </w:rPr>
      </w:pPr>
      <w:r>
        <w:rPr>
          <w:sz w:val="22"/>
          <w:szCs w:val="22"/>
        </w:rPr>
        <w:t xml:space="preserve"> </w:t>
      </w:r>
    </w:p>
    <w:p w:rsidR="00B06033" w:rsidRDefault="00B962C6">
      <w:pPr>
        <w:rPr>
          <w:sz w:val="22"/>
          <w:szCs w:val="22"/>
        </w:rPr>
      </w:pPr>
      <w:r>
        <w:rPr>
          <w:sz w:val="22"/>
          <w:szCs w:val="22"/>
        </w:rPr>
        <w:t>2. Select a “lead-in/quote set-up” to introduce the textual evidence to the reader:</w:t>
      </w:r>
    </w:p>
    <w:p w:rsidR="00B06033" w:rsidRDefault="00B06033">
      <w:pPr>
        <w:rPr>
          <w:sz w:val="22"/>
          <w:szCs w:val="22"/>
        </w:rPr>
      </w:pPr>
    </w:p>
    <w:p w:rsidR="00B06033" w:rsidRDefault="00B962C6">
      <w:pPr>
        <w:numPr>
          <w:ilvl w:val="1"/>
          <w:numId w:val="1"/>
        </w:numPr>
        <w:rPr>
          <w:sz w:val="22"/>
          <w:szCs w:val="22"/>
        </w:rPr>
      </w:pPr>
      <w:r>
        <w:rPr>
          <w:sz w:val="22"/>
          <w:szCs w:val="22"/>
        </w:rPr>
        <w:t xml:space="preserve">According to ________________ , in _____________________ ,  </w:t>
      </w:r>
    </w:p>
    <w:p w:rsidR="00B06033" w:rsidRDefault="00B962C6">
      <w:pPr>
        <w:ind w:left="720"/>
        <w:rPr>
          <w:sz w:val="22"/>
          <w:szCs w:val="22"/>
        </w:rPr>
      </w:pPr>
      <w:r>
        <w:rPr>
          <w:sz w:val="22"/>
          <w:szCs w:val="22"/>
        </w:rPr>
        <w:t xml:space="preserve">                             (</w:t>
      </w:r>
      <w:proofErr w:type="gramStart"/>
      <w:r>
        <w:rPr>
          <w:sz w:val="22"/>
          <w:szCs w:val="22"/>
        </w:rPr>
        <w:t>author/character/narrator</w:t>
      </w:r>
      <w:proofErr w:type="gramEnd"/>
      <w:r>
        <w:rPr>
          <w:sz w:val="22"/>
          <w:szCs w:val="22"/>
        </w:rPr>
        <w:t>)    (</w:t>
      </w:r>
      <w:proofErr w:type="gramStart"/>
      <w:r>
        <w:rPr>
          <w:sz w:val="22"/>
          <w:szCs w:val="22"/>
        </w:rPr>
        <w:t>title</w:t>
      </w:r>
      <w:proofErr w:type="gramEnd"/>
      <w:r>
        <w:rPr>
          <w:sz w:val="22"/>
          <w:szCs w:val="22"/>
        </w:rPr>
        <w:t xml:space="preserve"> of the text) &amp; author</w:t>
      </w:r>
    </w:p>
    <w:p w:rsidR="00B06033" w:rsidRDefault="00B06033">
      <w:pPr>
        <w:ind w:left="720"/>
        <w:rPr>
          <w:sz w:val="22"/>
          <w:szCs w:val="22"/>
        </w:rPr>
      </w:pPr>
    </w:p>
    <w:p w:rsidR="00B06033" w:rsidRDefault="00B962C6">
      <w:pPr>
        <w:ind w:left="1440"/>
        <w:rPr>
          <w:i/>
          <w:sz w:val="22"/>
          <w:szCs w:val="22"/>
        </w:rPr>
      </w:pPr>
      <w:r>
        <w:rPr>
          <w:i/>
          <w:sz w:val="22"/>
          <w:szCs w:val="22"/>
        </w:rPr>
        <w:t>Example:</w:t>
      </w:r>
    </w:p>
    <w:p w:rsidR="00B06033" w:rsidRDefault="00B962C6">
      <w:pPr>
        <w:ind w:left="1440"/>
        <w:rPr>
          <w:sz w:val="22"/>
          <w:szCs w:val="22"/>
        </w:rPr>
      </w:pPr>
      <w:r>
        <w:rPr>
          <w:sz w:val="22"/>
          <w:szCs w:val="22"/>
        </w:rPr>
        <w:t xml:space="preserve"> </w:t>
      </w:r>
      <w:r>
        <w:rPr>
          <w:b/>
        </w:rPr>
        <w:t>According to Fred in “Bloodstain” by Christopher Rowan</w:t>
      </w:r>
      <w:r>
        <w:rPr>
          <w:sz w:val="22"/>
          <w:szCs w:val="22"/>
        </w:rPr>
        <w:t xml:space="preserve">, “I’ll never tell [...] </w:t>
      </w:r>
      <w:proofErr w:type="gramStart"/>
      <w:r>
        <w:rPr>
          <w:sz w:val="22"/>
          <w:szCs w:val="22"/>
        </w:rPr>
        <w:t>They’ll</w:t>
      </w:r>
      <w:proofErr w:type="gramEnd"/>
      <w:r>
        <w:rPr>
          <w:sz w:val="22"/>
          <w:szCs w:val="22"/>
        </w:rPr>
        <w:t xml:space="preserve"> never even suspect me” (Rowan (365).  </w:t>
      </w:r>
    </w:p>
    <w:p w:rsidR="00B06033" w:rsidRDefault="00B06033">
      <w:pPr>
        <w:ind w:left="1440"/>
        <w:rPr>
          <w:sz w:val="22"/>
          <w:szCs w:val="22"/>
        </w:rPr>
      </w:pPr>
    </w:p>
    <w:p w:rsidR="00B06033" w:rsidRDefault="00B962C6">
      <w:pPr>
        <w:numPr>
          <w:ilvl w:val="1"/>
          <w:numId w:val="1"/>
        </w:numPr>
        <w:rPr>
          <w:sz w:val="22"/>
          <w:szCs w:val="22"/>
        </w:rPr>
      </w:pPr>
      <w:r>
        <w:rPr>
          <w:sz w:val="22"/>
          <w:szCs w:val="22"/>
        </w:rPr>
        <w:t>The ______________________  s</w:t>
      </w:r>
      <w:r>
        <w:rPr>
          <w:sz w:val="22"/>
          <w:szCs w:val="22"/>
        </w:rPr>
        <w:t>tates/declares/thinks/ponders/wonders/proclaims</w:t>
      </w:r>
    </w:p>
    <w:p w:rsidR="00B06033" w:rsidRDefault="00B962C6">
      <w:pPr>
        <w:ind w:left="1440"/>
        <w:rPr>
          <w:sz w:val="22"/>
          <w:szCs w:val="22"/>
        </w:rPr>
      </w:pPr>
      <w:r>
        <w:rPr>
          <w:sz w:val="22"/>
          <w:szCs w:val="22"/>
        </w:rPr>
        <w:t xml:space="preserve">        </w:t>
      </w:r>
      <w:proofErr w:type="gramStart"/>
      <w:r>
        <w:rPr>
          <w:sz w:val="22"/>
          <w:szCs w:val="22"/>
        </w:rPr>
        <w:t>author/narrator/character’s</w:t>
      </w:r>
      <w:proofErr w:type="gramEnd"/>
      <w:r>
        <w:rPr>
          <w:sz w:val="22"/>
          <w:szCs w:val="22"/>
        </w:rPr>
        <w:t xml:space="preserve"> name</w:t>
      </w:r>
    </w:p>
    <w:p w:rsidR="00B06033" w:rsidRDefault="00B06033">
      <w:pPr>
        <w:ind w:left="1440"/>
        <w:rPr>
          <w:sz w:val="22"/>
          <w:szCs w:val="22"/>
        </w:rPr>
      </w:pPr>
    </w:p>
    <w:p w:rsidR="00B06033" w:rsidRDefault="00B962C6">
      <w:pPr>
        <w:ind w:left="1440"/>
        <w:rPr>
          <w:i/>
          <w:sz w:val="22"/>
          <w:szCs w:val="22"/>
        </w:rPr>
      </w:pPr>
      <w:r>
        <w:rPr>
          <w:i/>
          <w:sz w:val="22"/>
          <w:szCs w:val="22"/>
        </w:rPr>
        <w:t>Example:</w:t>
      </w:r>
    </w:p>
    <w:p w:rsidR="00B06033" w:rsidRDefault="00B06033">
      <w:pPr>
        <w:ind w:left="1440"/>
        <w:rPr>
          <w:sz w:val="22"/>
          <w:szCs w:val="22"/>
        </w:rPr>
      </w:pPr>
    </w:p>
    <w:p w:rsidR="00B06033" w:rsidRDefault="00B962C6">
      <w:pPr>
        <w:ind w:left="1440"/>
        <w:rPr>
          <w:sz w:val="22"/>
          <w:szCs w:val="22"/>
        </w:rPr>
      </w:pPr>
      <w:r>
        <w:rPr>
          <w:b/>
          <w:sz w:val="22"/>
          <w:szCs w:val="22"/>
        </w:rPr>
        <w:t>The first-person narrator of “The Tell Tale Heart” by Edgar Allan Poe admits</w:t>
      </w:r>
      <w:r>
        <w:rPr>
          <w:sz w:val="22"/>
          <w:szCs w:val="22"/>
        </w:rPr>
        <w:t>, “True!-nervous-very, very dreadfully nervous I had been and am [...]” (Poe 174</w:t>
      </w:r>
      <w:r>
        <w:rPr>
          <w:sz w:val="22"/>
          <w:szCs w:val="22"/>
        </w:rPr>
        <w:t xml:space="preserve">).  </w:t>
      </w:r>
    </w:p>
    <w:p w:rsidR="00B06033" w:rsidRDefault="00B06033">
      <w:pPr>
        <w:ind w:left="1440"/>
        <w:rPr>
          <w:sz w:val="22"/>
          <w:szCs w:val="22"/>
        </w:rPr>
      </w:pPr>
    </w:p>
    <w:p w:rsidR="00B06033" w:rsidRDefault="00B962C6">
      <w:pPr>
        <w:rPr>
          <w:sz w:val="22"/>
          <w:szCs w:val="22"/>
        </w:rPr>
      </w:pPr>
      <w:r>
        <w:rPr>
          <w:sz w:val="22"/>
          <w:szCs w:val="22"/>
        </w:rPr>
        <w:t xml:space="preserve">3. Select an appropriate </w:t>
      </w:r>
      <w:r>
        <w:rPr>
          <w:b/>
          <w:sz w:val="22"/>
          <w:szCs w:val="22"/>
        </w:rPr>
        <w:t>verb</w:t>
      </w:r>
      <w:r>
        <w:rPr>
          <w:sz w:val="22"/>
          <w:szCs w:val="22"/>
        </w:rPr>
        <w:t xml:space="preserve"> and </w:t>
      </w:r>
      <w:r>
        <w:rPr>
          <w:b/>
          <w:sz w:val="22"/>
          <w:szCs w:val="22"/>
        </w:rPr>
        <w:t xml:space="preserve">verb tense </w:t>
      </w:r>
      <w:r>
        <w:rPr>
          <w:sz w:val="22"/>
          <w:szCs w:val="22"/>
        </w:rPr>
        <w:t xml:space="preserve">to match the textual evidence. </w:t>
      </w:r>
    </w:p>
    <w:p w:rsidR="00B06033" w:rsidRDefault="00B06033">
      <w:pPr>
        <w:rPr>
          <w:sz w:val="22"/>
          <w:szCs w:val="22"/>
        </w:rPr>
      </w:pPr>
    </w:p>
    <w:p w:rsidR="00B06033" w:rsidRDefault="00B962C6">
      <w:pPr>
        <w:ind w:firstLine="720"/>
        <w:rPr>
          <w:sz w:val="22"/>
          <w:szCs w:val="22"/>
        </w:rPr>
      </w:pPr>
      <w:r>
        <w:rPr>
          <w:sz w:val="22"/>
          <w:szCs w:val="22"/>
        </w:rPr>
        <w:t>🔺</w:t>
      </w:r>
      <w:r>
        <w:rPr>
          <w:sz w:val="22"/>
          <w:szCs w:val="22"/>
        </w:rPr>
        <w:t xml:space="preserve"> </w:t>
      </w:r>
      <w:proofErr w:type="gramStart"/>
      <w:r>
        <w:rPr>
          <w:sz w:val="22"/>
          <w:szCs w:val="22"/>
        </w:rPr>
        <w:t>Is</w:t>
      </w:r>
      <w:proofErr w:type="gramEnd"/>
      <w:r>
        <w:rPr>
          <w:sz w:val="22"/>
          <w:szCs w:val="22"/>
        </w:rPr>
        <w:t xml:space="preserve"> the textual evidence narration? Then the lead-in should state that. </w:t>
      </w:r>
    </w:p>
    <w:p w:rsidR="00B06033" w:rsidRDefault="00B962C6">
      <w:pPr>
        <w:ind w:left="720" w:firstLine="720"/>
        <w:rPr>
          <w:sz w:val="22"/>
          <w:szCs w:val="22"/>
        </w:rPr>
      </w:pPr>
      <w:r>
        <w:rPr>
          <w:i/>
          <w:sz w:val="22"/>
          <w:szCs w:val="22"/>
        </w:rPr>
        <w:t>Example:</w:t>
      </w:r>
      <w:r>
        <w:rPr>
          <w:sz w:val="22"/>
          <w:szCs w:val="22"/>
        </w:rPr>
        <w:t xml:space="preserve"> The third-person omniscient narrator described, “Dumbly, red with shame, Fred saw the ol</w:t>
      </w:r>
      <w:r>
        <w:rPr>
          <w:sz w:val="22"/>
          <w:szCs w:val="22"/>
        </w:rPr>
        <w:t xml:space="preserve">d man </w:t>
      </w:r>
      <w:proofErr w:type="spellStart"/>
      <w:r>
        <w:rPr>
          <w:sz w:val="22"/>
          <w:szCs w:val="22"/>
        </w:rPr>
        <w:t>uncock</w:t>
      </w:r>
      <w:proofErr w:type="spellEnd"/>
      <w:r>
        <w:rPr>
          <w:sz w:val="22"/>
          <w:szCs w:val="22"/>
        </w:rPr>
        <w:t xml:space="preserve"> both hammers” (Rowan 359).  </w:t>
      </w:r>
    </w:p>
    <w:p w:rsidR="00B06033" w:rsidRDefault="00B962C6">
      <w:pPr>
        <w:ind w:left="2160" w:firstLine="720"/>
        <w:rPr>
          <w:sz w:val="22"/>
          <w:szCs w:val="22"/>
        </w:rPr>
      </w:pPr>
      <w:r>
        <w:rPr>
          <w:sz w:val="22"/>
          <w:szCs w:val="22"/>
        </w:rPr>
        <w:t xml:space="preserve"> See how “described” matches “saw”? (</w:t>
      </w:r>
      <w:proofErr w:type="gramStart"/>
      <w:r>
        <w:rPr>
          <w:sz w:val="22"/>
          <w:szCs w:val="22"/>
        </w:rPr>
        <w:t>past</w:t>
      </w:r>
      <w:proofErr w:type="gramEnd"/>
      <w:r>
        <w:rPr>
          <w:sz w:val="22"/>
          <w:szCs w:val="22"/>
        </w:rPr>
        <w:t xml:space="preserve"> tense) </w:t>
      </w:r>
    </w:p>
    <w:p w:rsidR="00B06033" w:rsidRDefault="00B06033">
      <w:pPr>
        <w:rPr>
          <w:sz w:val="22"/>
          <w:szCs w:val="22"/>
        </w:rPr>
      </w:pPr>
    </w:p>
    <w:p w:rsidR="00B06033" w:rsidRDefault="00B962C6">
      <w:pPr>
        <w:ind w:firstLine="720"/>
        <w:rPr>
          <w:sz w:val="22"/>
          <w:szCs w:val="22"/>
        </w:rPr>
      </w:pPr>
      <w:r>
        <w:rPr>
          <w:sz w:val="22"/>
          <w:szCs w:val="22"/>
        </w:rPr>
        <w:t>🔺</w:t>
      </w:r>
      <w:r>
        <w:rPr>
          <w:sz w:val="22"/>
          <w:szCs w:val="22"/>
        </w:rPr>
        <w:t xml:space="preserve"> </w:t>
      </w:r>
      <w:proofErr w:type="gramStart"/>
      <w:r>
        <w:rPr>
          <w:sz w:val="22"/>
          <w:szCs w:val="22"/>
        </w:rPr>
        <w:t>Is</w:t>
      </w:r>
      <w:proofErr w:type="gramEnd"/>
      <w:r>
        <w:rPr>
          <w:sz w:val="22"/>
          <w:szCs w:val="22"/>
        </w:rPr>
        <w:t xml:space="preserve"> the textual evidence a character thinking? Then the lead-in should state that. </w:t>
      </w:r>
    </w:p>
    <w:p w:rsidR="00B06033" w:rsidRDefault="00B962C6">
      <w:pPr>
        <w:ind w:left="720" w:firstLine="720"/>
        <w:rPr>
          <w:sz w:val="22"/>
          <w:szCs w:val="22"/>
        </w:rPr>
      </w:pPr>
      <w:r>
        <w:rPr>
          <w:i/>
          <w:sz w:val="22"/>
          <w:szCs w:val="22"/>
        </w:rPr>
        <w:t>Example:</w:t>
      </w:r>
      <w:r>
        <w:rPr>
          <w:sz w:val="22"/>
          <w:szCs w:val="22"/>
        </w:rPr>
        <w:t xml:space="preserve"> Fred pondered, “</w:t>
      </w:r>
      <w:proofErr w:type="gramStart"/>
      <w:r>
        <w:rPr>
          <w:sz w:val="22"/>
          <w:szCs w:val="22"/>
        </w:rPr>
        <w:t>confession</w:t>
      </w:r>
      <w:proofErr w:type="gramEnd"/>
      <w:r>
        <w:rPr>
          <w:sz w:val="22"/>
          <w:szCs w:val="22"/>
        </w:rPr>
        <w:t xml:space="preserve">, flight, denial, silence...and back again to bitter </w:t>
      </w:r>
      <w:r>
        <w:rPr>
          <w:sz w:val="22"/>
          <w:szCs w:val="22"/>
        </w:rPr>
        <w:tab/>
      </w:r>
      <w:r>
        <w:rPr>
          <w:sz w:val="22"/>
          <w:szCs w:val="22"/>
        </w:rPr>
        <w:tab/>
        <w:t xml:space="preserve">sorrow” (Rowan 361).  </w:t>
      </w:r>
    </w:p>
    <w:p w:rsidR="00B06033" w:rsidRDefault="00B06033">
      <w:pPr>
        <w:rPr>
          <w:sz w:val="22"/>
          <w:szCs w:val="22"/>
        </w:rPr>
      </w:pPr>
    </w:p>
    <w:p w:rsidR="00B06033" w:rsidRDefault="00B962C6">
      <w:pPr>
        <w:rPr>
          <w:sz w:val="22"/>
          <w:szCs w:val="22"/>
        </w:rPr>
      </w:pPr>
      <w:r>
        <w:rPr>
          <w:sz w:val="22"/>
          <w:szCs w:val="22"/>
        </w:rPr>
        <w:t xml:space="preserve">  </w:t>
      </w:r>
      <w:r>
        <w:rPr>
          <w:sz w:val="22"/>
          <w:szCs w:val="22"/>
        </w:rPr>
        <w:tab/>
      </w:r>
      <w:r>
        <w:rPr>
          <w:sz w:val="22"/>
          <w:szCs w:val="22"/>
        </w:rPr>
        <w:t>🔺</w:t>
      </w:r>
      <w:r>
        <w:rPr>
          <w:sz w:val="22"/>
          <w:szCs w:val="22"/>
        </w:rPr>
        <w:t xml:space="preserve">Is the textual evidence a character proclaiming something with absolute certainty? You guessed </w:t>
      </w:r>
      <w:r>
        <w:rPr>
          <w:sz w:val="22"/>
          <w:szCs w:val="22"/>
        </w:rPr>
        <w:tab/>
      </w:r>
      <w:r>
        <w:rPr>
          <w:sz w:val="22"/>
          <w:szCs w:val="22"/>
        </w:rPr>
        <w:tab/>
        <w:t xml:space="preserve">it…then the lead-in should state that. </w:t>
      </w:r>
    </w:p>
    <w:p w:rsidR="00B06033" w:rsidRDefault="00B962C6">
      <w:pPr>
        <w:ind w:firstLine="720"/>
        <w:rPr>
          <w:sz w:val="22"/>
          <w:szCs w:val="22"/>
        </w:rPr>
      </w:pPr>
      <w:r>
        <w:rPr>
          <w:sz w:val="22"/>
          <w:szCs w:val="22"/>
        </w:rPr>
        <w:tab/>
      </w:r>
      <w:r>
        <w:rPr>
          <w:i/>
          <w:sz w:val="22"/>
          <w:szCs w:val="22"/>
        </w:rPr>
        <w:t>Example</w:t>
      </w:r>
      <w:r>
        <w:rPr>
          <w:i/>
          <w:sz w:val="22"/>
          <w:szCs w:val="22"/>
        </w:rPr>
        <w:t>:</w:t>
      </w:r>
      <w:r>
        <w:rPr>
          <w:sz w:val="22"/>
          <w:szCs w:val="22"/>
        </w:rPr>
        <w:t xml:space="preserve"> The first-person narrator divulges, “I heard all things in the heaven and in the </w:t>
      </w:r>
      <w:r>
        <w:rPr>
          <w:sz w:val="22"/>
          <w:szCs w:val="22"/>
        </w:rPr>
        <w:tab/>
      </w:r>
      <w:r>
        <w:rPr>
          <w:sz w:val="22"/>
          <w:szCs w:val="22"/>
        </w:rPr>
        <w:tab/>
      </w:r>
      <w:r>
        <w:rPr>
          <w:sz w:val="22"/>
          <w:szCs w:val="22"/>
        </w:rPr>
        <w:tab/>
        <w:t xml:space="preserve">Earth. I heard many things in hell” (Poe 174). </w:t>
      </w:r>
    </w:p>
    <w:p w:rsidR="00B06033" w:rsidRDefault="00B962C6">
      <w:pPr>
        <w:ind w:firstLine="720"/>
        <w:rPr>
          <w:sz w:val="22"/>
          <w:szCs w:val="22"/>
        </w:rPr>
      </w:pPr>
      <w:r>
        <w:rPr>
          <w:sz w:val="22"/>
          <w:szCs w:val="22"/>
        </w:rPr>
        <w:tab/>
      </w:r>
      <w:r>
        <w:rPr>
          <w:sz w:val="22"/>
          <w:szCs w:val="22"/>
        </w:rPr>
        <w:tab/>
      </w:r>
      <w:r>
        <w:rPr>
          <w:sz w:val="22"/>
          <w:szCs w:val="22"/>
        </w:rPr>
        <w:tab/>
        <w:t>See how “divulges” matches “heard”? (</w:t>
      </w:r>
      <w:proofErr w:type="gramStart"/>
      <w:r>
        <w:rPr>
          <w:sz w:val="22"/>
          <w:szCs w:val="22"/>
        </w:rPr>
        <w:t>present</w:t>
      </w:r>
      <w:proofErr w:type="gramEnd"/>
      <w:r>
        <w:rPr>
          <w:sz w:val="22"/>
          <w:szCs w:val="22"/>
        </w:rPr>
        <w:t xml:space="preserve"> tense) </w:t>
      </w:r>
    </w:p>
    <w:p w:rsidR="00B06033" w:rsidRDefault="00B06033">
      <w:pPr>
        <w:rPr>
          <w:sz w:val="22"/>
          <w:szCs w:val="22"/>
        </w:rPr>
      </w:pPr>
    </w:p>
    <w:p w:rsidR="00B06033" w:rsidRDefault="00B962C6">
      <w:pPr>
        <w:rPr>
          <w:sz w:val="22"/>
          <w:szCs w:val="22"/>
        </w:rPr>
      </w:pPr>
      <w:r>
        <w:rPr>
          <w:sz w:val="22"/>
          <w:szCs w:val="22"/>
        </w:rPr>
        <w:t xml:space="preserve">. </w:t>
      </w:r>
    </w:p>
    <w:p w:rsidR="00B06033" w:rsidRDefault="00B962C6">
      <w:pPr>
        <w:rPr>
          <w:sz w:val="22"/>
          <w:szCs w:val="22"/>
        </w:rPr>
      </w:pPr>
      <w:r>
        <w:rPr>
          <w:sz w:val="22"/>
          <w:szCs w:val="22"/>
        </w:rPr>
        <w:t xml:space="preserve">4. Put a </w:t>
      </w:r>
      <w:r>
        <w:rPr>
          <w:b/>
          <w:sz w:val="22"/>
          <w:szCs w:val="22"/>
        </w:rPr>
        <w:t xml:space="preserve">comma </w:t>
      </w:r>
      <w:r>
        <w:rPr>
          <w:sz w:val="22"/>
          <w:szCs w:val="22"/>
        </w:rPr>
        <w:t>after the lead-in.</w:t>
      </w:r>
    </w:p>
    <w:p w:rsidR="00B06033" w:rsidRDefault="00B962C6">
      <w:pPr>
        <w:rPr>
          <w:sz w:val="22"/>
          <w:szCs w:val="22"/>
        </w:rPr>
      </w:pPr>
      <w:r>
        <w:rPr>
          <w:sz w:val="22"/>
          <w:szCs w:val="22"/>
        </w:rPr>
        <w:tab/>
      </w:r>
      <w:r>
        <w:rPr>
          <w:sz w:val="22"/>
          <w:szCs w:val="22"/>
        </w:rPr>
        <w:tab/>
        <w:t>Examine the placement of t</w:t>
      </w:r>
      <w:r>
        <w:rPr>
          <w:sz w:val="22"/>
          <w:szCs w:val="22"/>
        </w:rPr>
        <w:t xml:space="preserve">he commas in the examples above. </w:t>
      </w:r>
    </w:p>
    <w:p w:rsidR="00B06033" w:rsidRDefault="00B06033">
      <w:pPr>
        <w:rPr>
          <w:sz w:val="22"/>
          <w:szCs w:val="22"/>
        </w:rPr>
      </w:pPr>
    </w:p>
    <w:p w:rsidR="00B06033" w:rsidRDefault="00B962C6">
      <w:pPr>
        <w:rPr>
          <w:sz w:val="22"/>
          <w:szCs w:val="22"/>
        </w:rPr>
      </w:pPr>
      <w:r>
        <w:rPr>
          <w:sz w:val="22"/>
          <w:szCs w:val="22"/>
        </w:rPr>
        <w:t xml:space="preserve">5. Place </w:t>
      </w:r>
      <w:r>
        <w:rPr>
          <w:b/>
          <w:sz w:val="22"/>
          <w:szCs w:val="22"/>
        </w:rPr>
        <w:t>quotation marks</w:t>
      </w:r>
      <w:r>
        <w:rPr>
          <w:sz w:val="22"/>
          <w:szCs w:val="22"/>
        </w:rPr>
        <w:t xml:space="preserve"> around the textual evidence. They should be “cupping” the textual evidence. </w:t>
      </w:r>
    </w:p>
    <w:p w:rsidR="00B06033" w:rsidRDefault="00B962C6">
      <w:pPr>
        <w:ind w:firstLine="720"/>
        <w:rPr>
          <w:sz w:val="22"/>
          <w:szCs w:val="22"/>
        </w:rPr>
      </w:pPr>
      <w:r>
        <w:rPr>
          <w:sz w:val="22"/>
          <w:szCs w:val="22"/>
        </w:rPr>
        <w:tab/>
        <w:t xml:space="preserve">Examine the placement of the quotation marks in the examples above. </w:t>
      </w:r>
    </w:p>
    <w:p w:rsidR="00B06033" w:rsidRDefault="00B962C6">
      <w:pPr>
        <w:rPr>
          <w:sz w:val="22"/>
          <w:szCs w:val="22"/>
        </w:rPr>
      </w:pPr>
      <w:r>
        <w:rPr>
          <w:sz w:val="22"/>
          <w:szCs w:val="22"/>
        </w:rPr>
        <w:tab/>
      </w:r>
    </w:p>
    <w:p w:rsidR="00B06033" w:rsidRDefault="00B06033">
      <w:pPr>
        <w:rPr>
          <w:sz w:val="22"/>
          <w:szCs w:val="22"/>
        </w:rPr>
      </w:pPr>
    </w:p>
    <w:p w:rsidR="00B06033" w:rsidRDefault="00B962C6">
      <w:pPr>
        <w:rPr>
          <w:sz w:val="22"/>
          <w:szCs w:val="22"/>
        </w:rPr>
      </w:pPr>
      <w:r>
        <w:rPr>
          <w:sz w:val="22"/>
          <w:szCs w:val="22"/>
        </w:rPr>
        <w:t xml:space="preserve">6. </w:t>
      </w:r>
      <w:r>
        <w:rPr>
          <w:b/>
          <w:sz w:val="22"/>
          <w:szCs w:val="22"/>
        </w:rPr>
        <w:t>Cite</w:t>
      </w:r>
      <w:r>
        <w:rPr>
          <w:sz w:val="22"/>
          <w:szCs w:val="22"/>
        </w:rPr>
        <w:t xml:space="preserve"> (which means to give credit to the aut</w:t>
      </w:r>
      <w:r>
        <w:rPr>
          <w:sz w:val="22"/>
          <w:szCs w:val="22"/>
        </w:rPr>
        <w:t xml:space="preserve">hor and inform reader of where information can be found) your textual evidence by placing the author’s last name and page number of the textual evidence in parenthesis.   </w:t>
      </w:r>
    </w:p>
    <w:p w:rsidR="00B06033" w:rsidRDefault="00B962C6">
      <w:pPr>
        <w:rPr>
          <w:sz w:val="22"/>
          <w:szCs w:val="22"/>
        </w:rPr>
      </w:pPr>
      <w:r>
        <w:rPr>
          <w:sz w:val="22"/>
          <w:szCs w:val="22"/>
        </w:rPr>
        <w:tab/>
      </w:r>
      <w:r>
        <w:rPr>
          <w:i/>
          <w:sz w:val="22"/>
          <w:szCs w:val="22"/>
        </w:rPr>
        <w:t xml:space="preserve">Note: </w:t>
      </w:r>
      <w:r>
        <w:rPr>
          <w:sz w:val="22"/>
          <w:szCs w:val="22"/>
        </w:rPr>
        <w:t>If you mention the author’s last name earlier in the sentence, you do not hav</w:t>
      </w:r>
      <w:r>
        <w:rPr>
          <w:sz w:val="22"/>
          <w:szCs w:val="22"/>
        </w:rPr>
        <w:t xml:space="preserve">e to repeat it in </w:t>
      </w:r>
      <w:r>
        <w:rPr>
          <w:sz w:val="22"/>
          <w:szCs w:val="22"/>
        </w:rPr>
        <w:tab/>
      </w:r>
      <w:r>
        <w:rPr>
          <w:sz w:val="22"/>
          <w:szCs w:val="22"/>
        </w:rPr>
        <w:tab/>
        <w:t xml:space="preserve">the citation). </w:t>
      </w:r>
    </w:p>
    <w:p w:rsidR="00B06033" w:rsidRDefault="00B962C6">
      <w:pPr>
        <w:rPr>
          <w:rFonts w:ascii="Times" w:eastAsia="Times" w:hAnsi="Times" w:cs="Times"/>
        </w:rPr>
      </w:pPr>
      <w:r>
        <w:rPr>
          <w:sz w:val="22"/>
          <w:szCs w:val="22"/>
        </w:rPr>
        <w:tab/>
      </w:r>
      <w:r>
        <w:rPr>
          <w:sz w:val="22"/>
          <w:szCs w:val="22"/>
        </w:rPr>
        <w:tab/>
      </w:r>
      <w:r>
        <w:rPr>
          <w:i/>
          <w:sz w:val="22"/>
          <w:szCs w:val="22"/>
        </w:rPr>
        <w:t xml:space="preserve">Example: </w:t>
      </w:r>
      <w:r>
        <w:rPr>
          <w:rFonts w:ascii="Times" w:eastAsia="Times" w:hAnsi="Times" w:cs="Times"/>
        </w:rPr>
        <w:t xml:space="preserve">In “The Landlady” by Roald Dahl, seventeen-year-old Billy Weaver, in </w:t>
      </w:r>
      <w:r>
        <w:rPr>
          <w:rFonts w:ascii="Times" w:eastAsia="Times" w:hAnsi="Times" w:cs="Times"/>
        </w:rPr>
        <w:tab/>
        <w:t xml:space="preserve">    </w:t>
      </w:r>
    </w:p>
    <w:p w:rsidR="00B06033" w:rsidRDefault="00B962C6">
      <w:pPr>
        <w:ind w:left="1440"/>
        <w:rPr>
          <w:rFonts w:ascii="Times" w:eastAsia="Times" w:hAnsi="Times" w:cs="Times"/>
        </w:rPr>
      </w:pPr>
      <w:r>
        <w:rPr>
          <w:rFonts w:ascii="Times" w:eastAsia="Times" w:hAnsi="Times" w:cs="Times"/>
        </w:rPr>
        <w:lastRenderedPageBreak/>
        <w:t xml:space="preserve">              Bath on business, decides to stay at a bed-and-breakfast in a run-down </w:t>
      </w:r>
      <w:r>
        <w:rPr>
          <w:rFonts w:ascii="Times" w:eastAsia="Times" w:hAnsi="Times" w:cs="Times"/>
        </w:rPr>
        <w:tab/>
      </w:r>
      <w:r>
        <w:rPr>
          <w:rFonts w:ascii="Times" w:eastAsia="Times" w:hAnsi="Times" w:cs="Times"/>
        </w:rPr>
        <w:tab/>
      </w:r>
      <w:r>
        <w:rPr>
          <w:rFonts w:ascii="Times" w:eastAsia="Times" w:hAnsi="Times" w:cs="Times"/>
        </w:rPr>
        <w:t xml:space="preserve">   section of town run by a “slightly dotty” woman who “stuffs all her little </w:t>
      </w:r>
    </w:p>
    <w:p w:rsidR="00B06033" w:rsidRDefault="00B962C6">
      <w:pPr>
        <w:ind w:left="2160"/>
        <w:rPr>
          <w:i/>
          <w:sz w:val="22"/>
          <w:szCs w:val="22"/>
        </w:rPr>
      </w:pPr>
      <w:r>
        <w:rPr>
          <w:rFonts w:ascii="Times" w:eastAsia="Times" w:hAnsi="Times" w:cs="Times"/>
        </w:rPr>
        <w:t xml:space="preserve">   </w:t>
      </w:r>
      <w:proofErr w:type="gramStart"/>
      <w:r>
        <w:rPr>
          <w:rFonts w:ascii="Times" w:eastAsia="Times" w:hAnsi="Times" w:cs="Times"/>
        </w:rPr>
        <w:t>pets</w:t>
      </w:r>
      <w:proofErr w:type="gramEnd"/>
      <w:r>
        <w:rPr>
          <w:rFonts w:ascii="Times" w:eastAsia="Times" w:hAnsi="Times" w:cs="Times"/>
        </w:rPr>
        <w:t xml:space="preserve">,” is cheap but includes breakfast, and serves only two other guests </w:t>
      </w:r>
      <w:r>
        <w:rPr>
          <w:rFonts w:ascii="Times" w:eastAsia="Times" w:hAnsi="Times" w:cs="Times"/>
        </w:rPr>
        <w:tab/>
        <w:t xml:space="preserve">     (72).</w:t>
      </w:r>
    </w:p>
    <w:p w:rsidR="00B06033" w:rsidRDefault="00B06033">
      <w:pPr>
        <w:rPr>
          <w:sz w:val="22"/>
          <w:szCs w:val="22"/>
        </w:rPr>
      </w:pPr>
    </w:p>
    <w:p w:rsidR="00B06033" w:rsidRDefault="00B962C6">
      <w:pPr>
        <w:rPr>
          <w:sz w:val="22"/>
          <w:szCs w:val="22"/>
        </w:rPr>
      </w:pPr>
      <w:r>
        <w:rPr>
          <w:sz w:val="22"/>
          <w:szCs w:val="22"/>
        </w:rPr>
        <w:t xml:space="preserve">7. The </w:t>
      </w:r>
      <w:r>
        <w:rPr>
          <w:b/>
          <w:sz w:val="22"/>
          <w:szCs w:val="22"/>
        </w:rPr>
        <w:t>period</w:t>
      </w:r>
      <w:r>
        <w:rPr>
          <w:sz w:val="22"/>
          <w:szCs w:val="22"/>
        </w:rPr>
        <w:t xml:space="preserve"> goes after the parenthesis. </w:t>
      </w:r>
    </w:p>
    <w:p w:rsidR="00B06033" w:rsidRDefault="00B06033">
      <w:pPr>
        <w:rPr>
          <w:sz w:val="22"/>
          <w:szCs w:val="22"/>
        </w:rPr>
      </w:pPr>
    </w:p>
    <w:p w:rsidR="00B06033" w:rsidRDefault="00B962C6">
      <w:pPr>
        <w:rPr>
          <w:sz w:val="22"/>
          <w:szCs w:val="22"/>
        </w:rPr>
      </w:pPr>
      <w:r>
        <w:rPr>
          <w:sz w:val="22"/>
          <w:szCs w:val="22"/>
        </w:rPr>
        <w:t xml:space="preserve">8. </w:t>
      </w:r>
      <w:r>
        <w:rPr>
          <w:b/>
          <w:sz w:val="22"/>
          <w:szCs w:val="22"/>
        </w:rPr>
        <w:t>Explain</w:t>
      </w:r>
      <w:r>
        <w:rPr>
          <w:sz w:val="22"/>
          <w:szCs w:val="22"/>
        </w:rPr>
        <w:t xml:space="preserve"> the textual evidence. This includ</w:t>
      </w:r>
      <w:r>
        <w:rPr>
          <w:sz w:val="22"/>
          <w:szCs w:val="22"/>
        </w:rPr>
        <w:t xml:space="preserve">es thoroughly explaining what transpires in the passage, what literary terms and writing techniques are used, and most importantly, how it supports the claim. </w:t>
      </w:r>
    </w:p>
    <w:p w:rsidR="00B06033" w:rsidRDefault="00B06033">
      <w:pPr>
        <w:rPr>
          <w:sz w:val="22"/>
          <w:szCs w:val="22"/>
        </w:rPr>
      </w:pPr>
    </w:p>
    <w:p w:rsidR="00B06033" w:rsidRDefault="00B06033">
      <w:pPr>
        <w:rPr>
          <w:sz w:val="22"/>
          <w:szCs w:val="22"/>
        </w:rPr>
      </w:pPr>
    </w:p>
    <w:p w:rsidR="00B06033" w:rsidRDefault="00B962C6">
      <w:pPr>
        <w:rPr>
          <w:sz w:val="22"/>
          <w:szCs w:val="22"/>
        </w:rPr>
      </w:pPr>
      <w:r>
        <w:rPr>
          <w:b/>
          <w:sz w:val="22"/>
          <w:szCs w:val="22"/>
        </w:rPr>
        <w:t>FINAL PRODUCT:</w:t>
      </w:r>
    </w:p>
    <w:p w:rsidR="00B06033" w:rsidRDefault="00B06033">
      <w:pPr>
        <w:rPr>
          <w:sz w:val="22"/>
          <w:szCs w:val="22"/>
        </w:rPr>
      </w:pPr>
    </w:p>
    <w:p w:rsidR="00B06033" w:rsidRDefault="00B962C6">
      <w:pPr>
        <w:rPr>
          <w:i/>
          <w:sz w:val="22"/>
          <w:szCs w:val="22"/>
        </w:rPr>
      </w:pPr>
      <w:r>
        <w:rPr>
          <w:i/>
          <w:sz w:val="22"/>
          <w:szCs w:val="22"/>
        </w:rPr>
        <w:t>(Keep in mind this will appear in a body paragraph after a topic sentence.)</w:t>
      </w:r>
    </w:p>
    <w:p w:rsidR="00B06033" w:rsidRDefault="00B962C6">
      <w:pPr>
        <w:rPr>
          <w:sz w:val="22"/>
          <w:szCs w:val="22"/>
        </w:rPr>
      </w:pPr>
      <w:r>
        <w:rPr>
          <w:sz w:val="22"/>
          <w:szCs w:val="22"/>
        </w:rPr>
        <w:br/>
      </w:r>
      <w:r>
        <w:rPr>
          <w:sz w:val="22"/>
          <w:szCs w:val="22"/>
        </w:rPr>
        <w:t>The narrator states, “He [Jonas] wept because he was afraid now that he could not save Gabriel. He no longer cared about himself” (Lowry 176).  In his weakened cold, hungry, and injured condition, Jonas weeps because he fears he will not be able to offer G</w:t>
      </w:r>
      <w:r>
        <w:rPr>
          <w:sz w:val="22"/>
          <w:szCs w:val="22"/>
        </w:rPr>
        <w:t>abriel a better life after successfully escaping their community and his scheduled release. He ignores his own needs in order to bring Gabriel to an Elsewhere in which memories, history, color, choice, and love exist. However, Jonas must remember to care f</w:t>
      </w:r>
      <w:r>
        <w:rPr>
          <w:sz w:val="22"/>
          <w:szCs w:val="22"/>
        </w:rPr>
        <w:t xml:space="preserve">or himself since the two-year-old depends on him for survival. This evidence could foreshadow Gabriel’s later death and Jonas’s declining health and eventual death, as well. </w:t>
      </w:r>
    </w:p>
    <w:sectPr w:rsidR="00B0603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62C6">
      <w:r>
        <w:separator/>
      </w:r>
    </w:p>
  </w:endnote>
  <w:endnote w:type="continuationSeparator" w:id="0">
    <w:p w:rsidR="00000000" w:rsidRDefault="00B9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62C6">
      <w:r>
        <w:separator/>
      </w:r>
    </w:p>
  </w:footnote>
  <w:footnote w:type="continuationSeparator" w:id="0">
    <w:p w:rsidR="00000000" w:rsidRDefault="00B9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33" w:rsidRDefault="00B962C6">
    <w:pPr>
      <w:jc w:val="center"/>
    </w:pPr>
    <w:r>
      <w:t>HOW TO SET-</w:t>
    </w:r>
    <w:r>
      <w:t>UP AND EXPLAIN TEXTUAL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3E33"/>
    <w:multiLevelType w:val="multilevel"/>
    <w:tmpl w:val="E68C3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33"/>
    <w:rsid w:val="00B06033"/>
    <w:rsid w:val="00B9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A4252-E9BD-47D6-9457-CB5F9F82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Paterna</dc:creator>
  <cp:lastModifiedBy>Fiona Paterna</cp:lastModifiedBy>
  <cp:revision>2</cp:revision>
  <dcterms:created xsi:type="dcterms:W3CDTF">2017-10-23T16:40:00Z</dcterms:created>
  <dcterms:modified xsi:type="dcterms:W3CDTF">2017-10-23T16:40:00Z</dcterms:modified>
</cp:coreProperties>
</file>